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4987A44" w:rsidR="00B12B8E" w:rsidRDefault="000032EB">
      <w:pPr>
        <w:spacing w:line="480" w:lineRule="auto"/>
        <w:rPr>
          <w:rFonts w:ascii="Times New Roman" w:eastAsia="Times New Roman" w:hAnsi="Times New Roman" w:cs="Times New Roman"/>
          <w:i/>
          <w:sz w:val="24"/>
          <w:szCs w:val="24"/>
        </w:rPr>
      </w:pPr>
      <w:bookmarkStart w:id="0" w:name="_gjdgxs" w:colFirst="0" w:colLast="0"/>
      <w:bookmarkEnd w:id="0"/>
      <w:r>
        <w:rPr>
          <w:rFonts w:ascii="Times New Roman" w:eastAsia="Times New Roman" w:hAnsi="Times New Roman" w:cs="Times New Roman"/>
          <w:b/>
          <w:sz w:val="24"/>
          <w:szCs w:val="24"/>
        </w:rPr>
        <w:t>CR 421.</w:t>
      </w:r>
      <w:r>
        <w:rPr>
          <w:rFonts w:ascii="Times New Roman" w:eastAsia="Times New Roman" w:hAnsi="Times New Roman" w:cs="Times New Roman"/>
          <w:b/>
          <w:color w:val="000000"/>
          <w:sz w:val="24"/>
          <w:szCs w:val="24"/>
        </w:rPr>
        <w:t xml:space="preserve">23 Presumption – Self-defense/Defense of another - when in residence or vehicle, use of deadly force R.C. 2901.05 (effective 3/28/19) </w:t>
      </w:r>
      <w:r>
        <w:rPr>
          <w:rFonts w:ascii="Times New Roman" w:eastAsia="Times New Roman" w:hAnsi="Times New Roman" w:cs="Times New Roman"/>
          <w:b/>
          <w:i/>
          <w:color w:val="000000"/>
          <w:sz w:val="24"/>
          <w:szCs w:val="24"/>
        </w:rPr>
        <w:t>[Rev</w:t>
      </w:r>
      <w:r>
        <w:rPr>
          <w:rFonts w:ascii="Times New Roman" w:eastAsia="Times New Roman" w:hAnsi="Times New Roman" w:cs="Times New Roman"/>
          <w:b/>
          <w:i/>
          <w:sz w:val="24"/>
          <w:szCs w:val="24"/>
        </w:rPr>
        <w:t xml:space="preserve">. </w:t>
      </w:r>
      <w:r w:rsidR="00BA695A">
        <w:rPr>
          <w:rFonts w:ascii="Times New Roman" w:eastAsia="Times New Roman" w:hAnsi="Times New Roman" w:cs="Times New Roman"/>
          <w:b/>
          <w:i/>
          <w:sz w:val="24"/>
          <w:szCs w:val="24"/>
        </w:rPr>
        <w:t>11/16</w:t>
      </w:r>
      <w:r>
        <w:rPr>
          <w:rFonts w:ascii="Times New Roman" w:eastAsia="Times New Roman" w:hAnsi="Times New Roman" w:cs="Times New Roman"/>
          <w:b/>
          <w:i/>
          <w:sz w:val="24"/>
          <w:szCs w:val="24"/>
        </w:rPr>
        <w:t>/19]</w:t>
      </w:r>
    </w:p>
    <w:p w14:paraId="00000002" w14:textId="77777777" w:rsidR="00B12B8E" w:rsidRDefault="000032EB">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PRESUMPTION - DESCRIBED. The defendant is presumed to have acted in (self-defense) (defense of another) when using defensive force that was intended or likely to cause death or great bodily harm to another if the person against whom the defensive force was used (was in the process of entering) (had entered), unlawfully and without privilege to do so, the (residence) (vehicle) occupied by the defendant.</w:t>
      </w:r>
    </w:p>
    <w:p w14:paraId="00000003" w14:textId="77777777" w:rsidR="00B12B8E" w:rsidRDefault="000032EB">
      <w:pPr>
        <w:spacing w:line="240" w:lineRule="auto"/>
        <w:ind w:left="144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COMMENT</w:t>
      </w:r>
    </w:p>
    <w:p w14:paraId="00000004" w14:textId="77777777" w:rsidR="00B12B8E" w:rsidRDefault="00B12B8E">
      <w:pPr>
        <w:spacing w:line="240" w:lineRule="auto"/>
        <w:ind w:left="1440"/>
        <w:jc w:val="center"/>
        <w:rPr>
          <w:rFonts w:ascii="Times New Roman" w:eastAsia="Times New Roman" w:hAnsi="Times New Roman" w:cs="Times New Roman"/>
          <w:b/>
          <w:color w:val="000000"/>
          <w:sz w:val="20"/>
          <w:szCs w:val="20"/>
        </w:rPr>
      </w:pPr>
    </w:p>
    <w:p w14:paraId="00000005" w14:textId="77777777" w:rsidR="00B12B8E" w:rsidRDefault="000032EB">
      <w:pPr>
        <w:spacing w:line="240" w:lineRule="auto"/>
        <w:ind w:left="144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Drawn from R.C. 2901.05(B)(2).</w:t>
      </w:r>
    </w:p>
    <w:p w14:paraId="00000006" w14:textId="77777777" w:rsidR="00B12B8E" w:rsidRDefault="00B12B8E">
      <w:pPr>
        <w:spacing w:line="240" w:lineRule="auto"/>
        <w:ind w:left="1440" w:firstLine="720"/>
        <w:rPr>
          <w:rFonts w:ascii="Times New Roman" w:eastAsia="Times New Roman" w:hAnsi="Times New Roman" w:cs="Times New Roman"/>
          <w:sz w:val="20"/>
          <w:szCs w:val="20"/>
        </w:rPr>
      </w:pPr>
    </w:p>
    <w:p w14:paraId="00000007" w14:textId="77777777" w:rsidR="00B12B8E" w:rsidRDefault="00B12B8E">
      <w:pPr>
        <w:spacing w:line="240" w:lineRule="auto"/>
        <w:ind w:left="1440" w:firstLine="720"/>
        <w:rPr>
          <w:rFonts w:ascii="Times New Roman" w:eastAsia="Times New Roman" w:hAnsi="Times New Roman" w:cs="Times New Roman"/>
          <w:sz w:val="20"/>
          <w:szCs w:val="20"/>
        </w:rPr>
      </w:pPr>
    </w:p>
    <w:p w14:paraId="00000008" w14:textId="77777777" w:rsidR="00B12B8E" w:rsidRDefault="000032EB">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PRESUMPTION - REBUTTABLE. The state claims that this presumption does not apply. This presumption does not apply if the state proves by a preponderance of the evidence that</w:t>
      </w:r>
    </w:p>
    <w:p w14:paraId="00000009" w14:textId="77777777" w:rsidR="00B12B8E" w:rsidRDefault="000032EB">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Use appropriate alternative</w:t>
      </w:r>
      <w:r>
        <w:rPr>
          <w:rFonts w:ascii="Times New Roman" w:eastAsia="Times New Roman" w:hAnsi="Times New Roman" w:cs="Times New Roman"/>
          <w:color w:val="000000"/>
          <w:sz w:val="24"/>
          <w:szCs w:val="24"/>
        </w:rPr>
        <w:t>)</w:t>
      </w:r>
    </w:p>
    <w:p w14:paraId="0000000A" w14:textId="77777777" w:rsidR="00B12B8E" w:rsidRDefault="000032EB">
      <w:pPr>
        <w:spacing w:line="240" w:lineRule="auto"/>
        <w:ind w:left="144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COMMENT</w:t>
      </w:r>
    </w:p>
    <w:p w14:paraId="0000000B" w14:textId="77777777" w:rsidR="00B12B8E" w:rsidRDefault="00B12B8E">
      <w:pPr>
        <w:spacing w:line="240" w:lineRule="auto"/>
        <w:ind w:left="1440"/>
        <w:rPr>
          <w:rFonts w:ascii="Times New Roman" w:eastAsia="Times New Roman" w:hAnsi="Times New Roman" w:cs="Times New Roman"/>
          <w:color w:val="000000"/>
          <w:sz w:val="20"/>
          <w:szCs w:val="20"/>
        </w:rPr>
      </w:pPr>
    </w:p>
    <w:p w14:paraId="0000000C" w14:textId="6EB99324" w:rsidR="00B12B8E" w:rsidRDefault="000032EB">
      <w:pPr>
        <w:spacing w:line="240" w:lineRule="auto"/>
        <w:ind w:left="144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R.C. 2901.05(B)(3) advances the following two sets of circumstances in which the R.C. 2901.05(B)(2) presumption does not apply. </w:t>
      </w:r>
    </w:p>
    <w:p w14:paraId="604EAFE2" w14:textId="45BE48D8" w:rsidR="00560369" w:rsidRDefault="00560369">
      <w:pPr>
        <w:spacing w:line="240" w:lineRule="auto"/>
        <w:ind w:left="1440" w:firstLine="720"/>
        <w:rPr>
          <w:rFonts w:ascii="Times New Roman" w:eastAsia="Times New Roman" w:hAnsi="Times New Roman" w:cs="Times New Roman"/>
          <w:color w:val="000000"/>
          <w:sz w:val="20"/>
          <w:szCs w:val="20"/>
        </w:rPr>
      </w:pPr>
    </w:p>
    <w:p w14:paraId="2FFD54D8" w14:textId="17753C67" w:rsidR="00560369" w:rsidRPr="00560369" w:rsidRDefault="00560369">
      <w:pPr>
        <w:spacing w:line="240" w:lineRule="auto"/>
        <w:ind w:left="144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Appellate courts have held that these are not the exclusive means by which the state may rebut the presumption and that the state could also rebut the presumption by proving the absence of any of the elements of self-defense, including that the defendant was at fault in creating the violent situation, did not have a reasonable belief that he or she was in imminent danger of death or great bodily harm, or violated a duty to retreat.  </w:t>
      </w:r>
      <w:r>
        <w:rPr>
          <w:rFonts w:ascii="Times New Roman" w:eastAsia="Times New Roman" w:hAnsi="Times New Roman" w:cs="Times New Roman"/>
          <w:i/>
          <w:iCs/>
          <w:color w:val="000000"/>
          <w:sz w:val="20"/>
          <w:szCs w:val="20"/>
        </w:rPr>
        <w:t>See State v. Kean</w:t>
      </w:r>
      <w:r>
        <w:rPr>
          <w:rFonts w:ascii="Times New Roman" w:eastAsia="Times New Roman" w:hAnsi="Times New Roman" w:cs="Times New Roman"/>
          <w:color w:val="000000"/>
          <w:sz w:val="20"/>
          <w:szCs w:val="20"/>
        </w:rPr>
        <w:t>, 10</w:t>
      </w:r>
      <w:r w:rsidRPr="00560369">
        <w:rPr>
          <w:rFonts w:ascii="Times New Roman" w:eastAsia="Times New Roman" w:hAnsi="Times New Roman" w:cs="Times New Roman"/>
          <w:color w:val="000000"/>
          <w:sz w:val="20"/>
          <w:szCs w:val="20"/>
        </w:rPr>
        <w:t>th</w:t>
      </w:r>
      <w:r>
        <w:rPr>
          <w:rFonts w:ascii="Times New Roman" w:eastAsia="Times New Roman" w:hAnsi="Times New Roman" w:cs="Times New Roman"/>
          <w:color w:val="000000"/>
          <w:sz w:val="20"/>
          <w:szCs w:val="20"/>
        </w:rPr>
        <w:t xml:space="preserve"> Dist. Franklin No. 17AP-427, 2019-Ohio-1171; </w:t>
      </w:r>
      <w:r>
        <w:rPr>
          <w:rFonts w:ascii="Times New Roman" w:eastAsia="Times New Roman" w:hAnsi="Times New Roman" w:cs="Times New Roman"/>
          <w:i/>
          <w:iCs/>
          <w:color w:val="000000"/>
          <w:sz w:val="20"/>
          <w:szCs w:val="20"/>
        </w:rPr>
        <w:t xml:space="preserve">State v. </w:t>
      </w:r>
      <w:proofErr w:type="spellStart"/>
      <w:r>
        <w:rPr>
          <w:rFonts w:ascii="Times New Roman" w:eastAsia="Times New Roman" w:hAnsi="Times New Roman" w:cs="Times New Roman"/>
          <w:i/>
          <w:iCs/>
          <w:color w:val="000000"/>
          <w:sz w:val="20"/>
          <w:szCs w:val="20"/>
        </w:rPr>
        <w:t>Carosiello</w:t>
      </w:r>
      <w:proofErr w:type="spellEnd"/>
      <w:r>
        <w:rPr>
          <w:rFonts w:ascii="Times New Roman" w:eastAsia="Times New Roman" w:hAnsi="Times New Roman" w:cs="Times New Roman"/>
          <w:color w:val="000000"/>
          <w:sz w:val="20"/>
          <w:szCs w:val="20"/>
        </w:rPr>
        <w:t>, Columbiana 7</w:t>
      </w:r>
      <w:r w:rsidRPr="00560369">
        <w:rPr>
          <w:rFonts w:ascii="Times New Roman" w:eastAsia="Times New Roman" w:hAnsi="Times New Roman" w:cs="Times New Roman"/>
          <w:color w:val="000000"/>
          <w:sz w:val="20"/>
          <w:szCs w:val="20"/>
        </w:rPr>
        <w:t>th</w:t>
      </w:r>
      <w:r>
        <w:rPr>
          <w:rFonts w:ascii="Times New Roman" w:eastAsia="Times New Roman" w:hAnsi="Times New Roman" w:cs="Times New Roman"/>
          <w:color w:val="000000"/>
          <w:sz w:val="20"/>
          <w:szCs w:val="20"/>
        </w:rPr>
        <w:t xml:space="preserve"> Dist. No. 15CO17, 2017-Ohio-8160; </w:t>
      </w:r>
      <w:r>
        <w:rPr>
          <w:rFonts w:ascii="Times New Roman" w:eastAsia="Times New Roman" w:hAnsi="Times New Roman" w:cs="Times New Roman"/>
          <w:i/>
          <w:iCs/>
          <w:color w:val="000000"/>
          <w:sz w:val="20"/>
          <w:szCs w:val="20"/>
        </w:rPr>
        <w:t>State v. Montgomery</w:t>
      </w:r>
      <w:r>
        <w:rPr>
          <w:rFonts w:ascii="Times New Roman" w:eastAsia="Times New Roman" w:hAnsi="Times New Roman" w:cs="Times New Roman"/>
          <w:color w:val="000000"/>
          <w:sz w:val="20"/>
          <w:szCs w:val="20"/>
        </w:rPr>
        <w:t>, 12</w:t>
      </w:r>
      <w:r w:rsidRPr="00560369">
        <w:rPr>
          <w:rFonts w:ascii="Times New Roman" w:eastAsia="Times New Roman" w:hAnsi="Times New Roman" w:cs="Times New Roman"/>
          <w:color w:val="000000"/>
          <w:sz w:val="20"/>
          <w:szCs w:val="20"/>
        </w:rPr>
        <w:t>th</w:t>
      </w:r>
      <w:r>
        <w:rPr>
          <w:rFonts w:ascii="Times New Roman" w:eastAsia="Times New Roman" w:hAnsi="Times New Roman" w:cs="Times New Roman"/>
          <w:color w:val="000000"/>
          <w:sz w:val="20"/>
          <w:szCs w:val="20"/>
        </w:rPr>
        <w:t xml:space="preserve"> Dist. Clermont No. 2015-03-028, 2015-Ohio 4652; </w:t>
      </w:r>
      <w:r>
        <w:rPr>
          <w:rFonts w:ascii="Times New Roman" w:eastAsia="Times New Roman" w:hAnsi="Times New Roman" w:cs="Times New Roman"/>
          <w:i/>
          <w:iCs/>
          <w:color w:val="000000"/>
          <w:sz w:val="20"/>
          <w:szCs w:val="20"/>
        </w:rPr>
        <w:t>State v. Hadley</w:t>
      </w:r>
      <w:r>
        <w:rPr>
          <w:rFonts w:ascii="Times New Roman" w:eastAsia="Times New Roman" w:hAnsi="Times New Roman" w:cs="Times New Roman"/>
          <w:color w:val="000000"/>
          <w:sz w:val="20"/>
          <w:szCs w:val="20"/>
        </w:rPr>
        <w:t xml:space="preserve">, 3d Marion No. 9-11-30, 2013-Ohio-1942; </w:t>
      </w:r>
      <w:r>
        <w:rPr>
          <w:rFonts w:ascii="Times New Roman" w:eastAsia="Times New Roman" w:hAnsi="Times New Roman" w:cs="Times New Roman"/>
          <w:i/>
          <w:iCs/>
          <w:color w:val="000000"/>
          <w:sz w:val="20"/>
          <w:szCs w:val="20"/>
        </w:rPr>
        <w:t xml:space="preserve">State v. </w:t>
      </w:r>
      <w:proofErr w:type="spellStart"/>
      <w:r>
        <w:rPr>
          <w:rFonts w:ascii="Times New Roman" w:eastAsia="Times New Roman" w:hAnsi="Times New Roman" w:cs="Times New Roman"/>
          <w:i/>
          <w:iCs/>
          <w:color w:val="000000"/>
          <w:sz w:val="20"/>
          <w:szCs w:val="20"/>
        </w:rPr>
        <w:t>Petrone</w:t>
      </w:r>
      <w:proofErr w:type="spellEnd"/>
      <w:r>
        <w:rPr>
          <w:rFonts w:ascii="Times New Roman" w:eastAsia="Times New Roman" w:hAnsi="Times New Roman" w:cs="Times New Roman"/>
          <w:color w:val="000000"/>
          <w:sz w:val="20"/>
          <w:szCs w:val="20"/>
        </w:rPr>
        <w:t>, 5</w:t>
      </w:r>
      <w:r w:rsidRPr="00560369">
        <w:rPr>
          <w:rFonts w:ascii="Times New Roman" w:eastAsia="Times New Roman" w:hAnsi="Times New Roman" w:cs="Times New Roman"/>
          <w:color w:val="000000"/>
          <w:sz w:val="20"/>
          <w:szCs w:val="20"/>
        </w:rPr>
        <w:t>th</w:t>
      </w:r>
      <w:r>
        <w:rPr>
          <w:rFonts w:ascii="Times New Roman" w:eastAsia="Times New Roman" w:hAnsi="Times New Roman" w:cs="Times New Roman"/>
          <w:color w:val="000000"/>
          <w:sz w:val="20"/>
          <w:szCs w:val="20"/>
        </w:rPr>
        <w:t xml:space="preserve"> Dist. Stark No. 2011CA67, 2012-Ohio-911; </w:t>
      </w:r>
      <w:r>
        <w:rPr>
          <w:rFonts w:ascii="Times New Roman" w:eastAsia="Times New Roman" w:hAnsi="Times New Roman" w:cs="Times New Roman"/>
          <w:i/>
          <w:iCs/>
          <w:color w:val="000000"/>
          <w:sz w:val="20"/>
          <w:szCs w:val="20"/>
        </w:rPr>
        <w:t>State v. Bundy</w:t>
      </w:r>
      <w:r>
        <w:rPr>
          <w:rFonts w:ascii="Times New Roman" w:eastAsia="Times New Roman" w:hAnsi="Times New Roman" w:cs="Times New Roman"/>
          <w:color w:val="000000"/>
          <w:sz w:val="20"/>
          <w:szCs w:val="20"/>
        </w:rPr>
        <w:t>, 4</w:t>
      </w:r>
      <w:r w:rsidRPr="00560369">
        <w:rPr>
          <w:rFonts w:ascii="Times New Roman" w:eastAsia="Times New Roman" w:hAnsi="Times New Roman" w:cs="Times New Roman"/>
          <w:color w:val="000000"/>
          <w:sz w:val="20"/>
          <w:szCs w:val="20"/>
        </w:rPr>
        <w:t>th</w:t>
      </w:r>
      <w:r>
        <w:rPr>
          <w:rFonts w:ascii="Times New Roman" w:eastAsia="Times New Roman" w:hAnsi="Times New Roman" w:cs="Times New Roman"/>
          <w:color w:val="000000"/>
          <w:sz w:val="20"/>
          <w:szCs w:val="20"/>
        </w:rPr>
        <w:t xml:space="preserve"> Dist. Pike No. 1CA818, 2012-Ohio-3934.</w:t>
      </w:r>
    </w:p>
    <w:p w14:paraId="0000000D" w14:textId="77777777" w:rsidR="00B12B8E" w:rsidRDefault="00B12B8E">
      <w:pPr>
        <w:spacing w:line="240" w:lineRule="auto"/>
        <w:ind w:left="1440" w:firstLine="720"/>
        <w:rPr>
          <w:rFonts w:ascii="Times New Roman" w:eastAsia="Times New Roman" w:hAnsi="Times New Roman" w:cs="Times New Roman"/>
          <w:color w:val="000000"/>
          <w:sz w:val="20"/>
          <w:szCs w:val="20"/>
        </w:rPr>
      </w:pPr>
    </w:p>
    <w:p w14:paraId="0000000E" w14:textId="72A0A06C" w:rsidR="00B12B8E" w:rsidRDefault="000032EB">
      <w:pPr>
        <w:spacing w:line="48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the person against whom the defensive force was used (was a lawful resident of) </w:t>
      </w:r>
      <w:r w:rsidR="00BA695A">
        <w:rPr>
          <w:rFonts w:ascii="Times New Roman" w:eastAsia="Times New Roman" w:hAnsi="Times New Roman" w:cs="Times New Roman"/>
          <w:color w:val="000000"/>
          <w:sz w:val="24"/>
          <w:szCs w:val="24"/>
        </w:rPr>
        <w:t xml:space="preserve">(had a right to be in) </w:t>
      </w:r>
      <w:r>
        <w:rPr>
          <w:rFonts w:ascii="Times New Roman" w:eastAsia="Times New Roman" w:hAnsi="Times New Roman" w:cs="Times New Roman"/>
          <w:color w:val="000000"/>
          <w:sz w:val="24"/>
          <w:szCs w:val="24"/>
        </w:rPr>
        <w:t>the (residence) (vehicle). Even if the state rebuts the presumption of (self-defense) (defense of another), the state must still prove beyond a reasonable doubt that the defendant did not use the force in (self-defense) (defense of another).</w:t>
      </w:r>
    </w:p>
    <w:p w14:paraId="0000000F" w14:textId="77777777" w:rsidR="00B12B8E" w:rsidRDefault="000032EB">
      <w:pPr>
        <w:spacing w:line="240" w:lineRule="auto"/>
        <w:ind w:left="144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COMMENT</w:t>
      </w:r>
    </w:p>
    <w:p w14:paraId="00000010" w14:textId="77777777" w:rsidR="00B12B8E" w:rsidRDefault="00B12B8E">
      <w:pPr>
        <w:spacing w:line="240" w:lineRule="auto"/>
        <w:ind w:left="1440"/>
        <w:rPr>
          <w:rFonts w:ascii="Times New Roman" w:eastAsia="Times New Roman" w:hAnsi="Times New Roman" w:cs="Times New Roman"/>
          <w:color w:val="000000"/>
          <w:sz w:val="20"/>
          <w:szCs w:val="20"/>
        </w:rPr>
      </w:pPr>
    </w:p>
    <w:p w14:paraId="00000011" w14:textId="77777777" w:rsidR="00B12B8E" w:rsidRDefault="000032EB">
      <w:pPr>
        <w:spacing w:line="240" w:lineRule="auto"/>
        <w:ind w:left="144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Drawn from R.C. 2901.05(B)(3)(a) and (B)(4).</w:t>
      </w:r>
    </w:p>
    <w:p w14:paraId="00000012" w14:textId="77777777" w:rsidR="00B12B8E" w:rsidRDefault="00B12B8E">
      <w:pPr>
        <w:spacing w:line="240" w:lineRule="auto"/>
        <w:ind w:left="1440" w:firstLine="720"/>
        <w:rPr>
          <w:rFonts w:ascii="Times New Roman" w:eastAsia="Times New Roman" w:hAnsi="Times New Roman" w:cs="Times New Roman"/>
          <w:sz w:val="20"/>
          <w:szCs w:val="20"/>
        </w:rPr>
      </w:pPr>
    </w:p>
    <w:p w14:paraId="00000013" w14:textId="77777777" w:rsidR="00B12B8E" w:rsidRDefault="00B12B8E">
      <w:pPr>
        <w:spacing w:line="240" w:lineRule="auto"/>
        <w:ind w:left="1440" w:firstLine="720"/>
        <w:rPr>
          <w:rFonts w:ascii="Times New Roman" w:eastAsia="Times New Roman" w:hAnsi="Times New Roman" w:cs="Times New Roman"/>
          <w:sz w:val="20"/>
          <w:szCs w:val="20"/>
        </w:rPr>
      </w:pPr>
    </w:p>
    <w:p w14:paraId="00000014" w14:textId="77777777" w:rsidR="00B12B8E" w:rsidRDefault="000032EB">
      <w:pP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or</w:t>
      </w:r>
      <w:r>
        <w:rPr>
          <w:rFonts w:ascii="Times New Roman" w:eastAsia="Times New Roman" w:hAnsi="Times New Roman" w:cs="Times New Roman"/>
          <w:color w:val="000000"/>
          <w:sz w:val="24"/>
          <w:szCs w:val="24"/>
        </w:rPr>
        <w:t>)</w:t>
      </w:r>
    </w:p>
    <w:p w14:paraId="00000015" w14:textId="77777777" w:rsidR="00B12B8E" w:rsidRDefault="000032EB">
      <w:pPr>
        <w:spacing w:line="48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the defendant used the defensive force while in a (residence) (vehicle) and he/she was unlawfully, and without privilege to be, in that (residence) (vehicle). Even if the state rebuts the presumption of (self-defense) (defense of another), the state must still prove beyond a reasonable doubt that the defendant did not use the force in (self-defense) (defense of another).</w:t>
      </w:r>
    </w:p>
    <w:p w14:paraId="00000016" w14:textId="77777777" w:rsidR="00B12B8E" w:rsidRDefault="000032EB">
      <w:pPr>
        <w:spacing w:line="240" w:lineRule="auto"/>
        <w:ind w:left="144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COMMENT</w:t>
      </w:r>
    </w:p>
    <w:p w14:paraId="00000017" w14:textId="77777777" w:rsidR="00B12B8E" w:rsidRDefault="00B12B8E">
      <w:pPr>
        <w:spacing w:line="240" w:lineRule="auto"/>
        <w:ind w:left="1440"/>
        <w:rPr>
          <w:rFonts w:ascii="Times New Roman" w:eastAsia="Times New Roman" w:hAnsi="Times New Roman" w:cs="Times New Roman"/>
          <w:color w:val="000000"/>
          <w:sz w:val="20"/>
          <w:szCs w:val="20"/>
        </w:rPr>
      </w:pPr>
    </w:p>
    <w:p w14:paraId="00000018" w14:textId="77777777" w:rsidR="00B12B8E" w:rsidRDefault="000032EB">
      <w:pPr>
        <w:spacing w:line="240" w:lineRule="auto"/>
        <w:ind w:left="144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Drawn from R.C. 2901.05(B)(3)(b) and (B)(4).</w:t>
      </w:r>
    </w:p>
    <w:p w14:paraId="00000019" w14:textId="77777777" w:rsidR="00B12B8E" w:rsidRDefault="000032EB">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14:paraId="0000001A" w14:textId="77777777" w:rsidR="00B12B8E" w:rsidRPr="00A12779" w:rsidRDefault="000032EB">
      <w:pPr>
        <w:spacing w:line="240" w:lineRule="auto"/>
        <w:ind w:left="144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Self-defense may still apply without the statutory presumption that the person against whom the force was used was lawfully in the residence.  </w:t>
      </w:r>
      <w:r>
        <w:rPr>
          <w:rFonts w:ascii="Times New Roman" w:eastAsia="Times New Roman" w:hAnsi="Times New Roman" w:cs="Times New Roman"/>
          <w:i/>
          <w:color w:val="000000"/>
          <w:sz w:val="20"/>
          <w:szCs w:val="20"/>
        </w:rPr>
        <w:t>State v. Lewis</w:t>
      </w:r>
      <w:r>
        <w:rPr>
          <w:rFonts w:ascii="Times New Roman" w:eastAsia="Times New Roman" w:hAnsi="Times New Roman" w:cs="Times New Roman"/>
          <w:color w:val="000000"/>
          <w:sz w:val="20"/>
          <w:szCs w:val="20"/>
        </w:rPr>
        <w:t xml:space="preserve">, 8th Dist. Cuyahoga No. </w:t>
      </w:r>
      <w:r w:rsidRPr="00A12779">
        <w:rPr>
          <w:rFonts w:ascii="Times New Roman" w:eastAsia="Times New Roman" w:hAnsi="Times New Roman" w:cs="Times New Roman"/>
          <w:color w:val="000000"/>
          <w:sz w:val="20"/>
          <w:szCs w:val="20"/>
        </w:rPr>
        <w:t>97211, 2012-Ohio-3684.</w:t>
      </w:r>
    </w:p>
    <w:p w14:paraId="0000001B" w14:textId="77777777" w:rsidR="00B12B8E" w:rsidRPr="00A12779" w:rsidRDefault="00B12B8E">
      <w:pPr>
        <w:spacing w:line="240" w:lineRule="auto"/>
        <w:rPr>
          <w:rFonts w:ascii="Times New Roman" w:eastAsia="Times New Roman" w:hAnsi="Times New Roman" w:cs="Times New Roman"/>
          <w:sz w:val="20"/>
          <w:szCs w:val="20"/>
        </w:rPr>
      </w:pPr>
    </w:p>
    <w:p w14:paraId="0000001C" w14:textId="77777777" w:rsidR="00B12B8E" w:rsidRPr="00A12779" w:rsidRDefault="00B12B8E">
      <w:pPr>
        <w:spacing w:line="240" w:lineRule="auto"/>
        <w:rPr>
          <w:rFonts w:ascii="Times New Roman" w:eastAsia="Times New Roman" w:hAnsi="Times New Roman" w:cs="Times New Roman"/>
          <w:sz w:val="20"/>
          <w:szCs w:val="20"/>
        </w:rPr>
      </w:pPr>
    </w:p>
    <w:p w14:paraId="4A2E08DC" w14:textId="77777777" w:rsidR="00A12779" w:rsidRPr="00A12779" w:rsidRDefault="000032EB">
      <w:pPr>
        <w:spacing w:line="480" w:lineRule="auto"/>
        <w:rPr>
          <w:rFonts w:ascii="Times New Roman" w:hAnsi="Times New Roman" w:cs="Times New Roman"/>
          <w:color w:val="373739"/>
          <w:sz w:val="24"/>
          <w:szCs w:val="24"/>
          <w:shd w:val="clear" w:color="auto" w:fill="FFFFFF"/>
        </w:rPr>
      </w:pPr>
      <w:r w:rsidRPr="00A12779">
        <w:rPr>
          <w:rFonts w:ascii="Times New Roman" w:eastAsia="Times New Roman" w:hAnsi="Times New Roman" w:cs="Times New Roman"/>
          <w:color w:val="000000"/>
          <w:sz w:val="24"/>
          <w:szCs w:val="24"/>
        </w:rPr>
        <w:t xml:space="preserve">3. </w:t>
      </w:r>
      <w:r w:rsidR="00A12779" w:rsidRPr="00A12779">
        <w:rPr>
          <w:rFonts w:ascii="Times New Roman" w:eastAsia="Times New Roman" w:hAnsi="Times New Roman" w:cs="Times New Roman"/>
          <w:color w:val="000000"/>
          <w:sz w:val="24"/>
          <w:szCs w:val="24"/>
        </w:rPr>
        <w:t xml:space="preserve">PRIVILEGE.  </w:t>
      </w:r>
      <w:r w:rsidR="00A12779" w:rsidRPr="00A12779">
        <w:rPr>
          <w:rFonts w:ascii="Times New Roman" w:hAnsi="Times New Roman" w:cs="Times New Roman"/>
          <w:color w:val="373739"/>
          <w:sz w:val="24"/>
          <w:szCs w:val="24"/>
          <w:shd w:val="clear" w:color="auto" w:fill="FFFFFF"/>
        </w:rPr>
        <w:t>“Privilege” means an immunity, license, or right conferred by law, bestowed by express or implied grant, arising out of status, position, office, or relationship, or growing out of necessity.</w:t>
      </w:r>
    </w:p>
    <w:p w14:paraId="52CB5C90" w14:textId="77777777" w:rsidR="00A12779" w:rsidRPr="00A12779" w:rsidRDefault="00A12779" w:rsidP="00A12779">
      <w:pPr>
        <w:spacing w:line="480" w:lineRule="auto"/>
        <w:jc w:val="center"/>
        <w:rPr>
          <w:rFonts w:ascii="Times New Roman" w:hAnsi="Times New Roman" w:cs="Times New Roman"/>
          <w:b/>
          <w:color w:val="373739"/>
          <w:sz w:val="20"/>
          <w:szCs w:val="20"/>
          <w:shd w:val="clear" w:color="auto" w:fill="FFFFFF"/>
        </w:rPr>
      </w:pPr>
      <w:r w:rsidRPr="00A12779">
        <w:rPr>
          <w:rFonts w:ascii="Times New Roman" w:hAnsi="Times New Roman" w:cs="Times New Roman"/>
          <w:b/>
          <w:color w:val="373739"/>
          <w:sz w:val="20"/>
          <w:szCs w:val="20"/>
          <w:shd w:val="clear" w:color="auto" w:fill="FFFFFF"/>
        </w:rPr>
        <w:t>COMMENT</w:t>
      </w:r>
    </w:p>
    <w:p w14:paraId="2B8354D4" w14:textId="012D3A6B" w:rsidR="00A12779" w:rsidRPr="00A12779" w:rsidRDefault="00A12779" w:rsidP="00A12779">
      <w:pPr>
        <w:spacing w:line="480" w:lineRule="auto"/>
        <w:ind w:left="1440" w:firstLine="720"/>
        <w:rPr>
          <w:rFonts w:ascii="Times New Roman" w:hAnsi="Times New Roman" w:cs="Times New Roman"/>
          <w:color w:val="373739"/>
          <w:sz w:val="20"/>
          <w:szCs w:val="20"/>
          <w:shd w:val="clear" w:color="auto" w:fill="FFFFFF"/>
        </w:rPr>
      </w:pPr>
      <w:r w:rsidRPr="00A12779">
        <w:rPr>
          <w:rFonts w:ascii="Times New Roman" w:hAnsi="Times New Roman" w:cs="Times New Roman"/>
          <w:color w:val="373739"/>
          <w:sz w:val="20"/>
          <w:szCs w:val="20"/>
          <w:shd w:val="clear" w:color="auto" w:fill="FFFFFF"/>
        </w:rPr>
        <w:t>R.C. 2901.01.</w:t>
      </w:r>
    </w:p>
    <w:p w14:paraId="0000001D" w14:textId="3F26D95D" w:rsidR="00B12B8E" w:rsidRDefault="00A12779">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0032EB" w:rsidRPr="00A12779">
        <w:rPr>
          <w:rFonts w:ascii="Times New Roman" w:eastAsia="Times New Roman" w:hAnsi="Times New Roman" w:cs="Times New Roman"/>
          <w:color w:val="000000"/>
          <w:sz w:val="24"/>
          <w:szCs w:val="24"/>
        </w:rPr>
        <w:t>RESIDENCE. "Residence" means</w:t>
      </w:r>
      <w:r w:rsidR="000032EB">
        <w:rPr>
          <w:rFonts w:ascii="Times New Roman" w:eastAsia="Times New Roman" w:hAnsi="Times New Roman" w:cs="Times New Roman"/>
          <w:color w:val="000000"/>
          <w:sz w:val="24"/>
          <w:szCs w:val="24"/>
        </w:rPr>
        <w:t xml:space="preserve"> a dwelling in which a person resides either temporarily or permanently or is visiting as a guest. </w:t>
      </w:r>
    </w:p>
    <w:p w14:paraId="0000001E" w14:textId="77777777" w:rsidR="00B12B8E" w:rsidRDefault="000032EB">
      <w:pPr>
        <w:spacing w:line="480" w:lineRule="auto"/>
        <w:ind w:left="144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COMMENT</w:t>
      </w:r>
    </w:p>
    <w:p w14:paraId="0000001F" w14:textId="77777777" w:rsidR="00B12B8E" w:rsidRDefault="000032EB">
      <w:pPr>
        <w:spacing w:line="240" w:lineRule="auto"/>
        <w:ind w:left="144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R.C. 2901.05(D)(3).</w:t>
      </w:r>
    </w:p>
    <w:p w14:paraId="00000020" w14:textId="77777777" w:rsidR="00B12B8E" w:rsidRDefault="00B12B8E">
      <w:pPr>
        <w:spacing w:line="240" w:lineRule="auto"/>
        <w:ind w:left="1440" w:firstLine="720"/>
        <w:rPr>
          <w:rFonts w:ascii="Times New Roman" w:eastAsia="Times New Roman" w:hAnsi="Times New Roman" w:cs="Times New Roman"/>
          <w:color w:val="000000"/>
          <w:sz w:val="20"/>
          <w:szCs w:val="20"/>
        </w:rPr>
      </w:pPr>
    </w:p>
    <w:p w14:paraId="00000021" w14:textId="77777777" w:rsidR="00B12B8E" w:rsidRDefault="00B12B8E">
      <w:pPr>
        <w:spacing w:line="240" w:lineRule="auto"/>
        <w:ind w:left="1440" w:firstLine="720"/>
        <w:rPr>
          <w:rFonts w:ascii="Times New Roman" w:eastAsia="Times New Roman" w:hAnsi="Times New Roman" w:cs="Times New Roman"/>
          <w:color w:val="000000"/>
          <w:sz w:val="20"/>
          <w:szCs w:val="20"/>
        </w:rPr>
      </w:pPr>
    </w:p>
    <w:p w14:paraId="00000022" w14:textId="157A1F26" w:rsidR="00B12B8E" w:rsidRDefault="00A12779">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032EB">
        <w:rPr>
          <w:rFonts w:ascii="Times New Roman" w:eastAsia="Times New Roman" w:hAnsi="Times New Roman" w:cs="Times New Roman"/>
          <w:color w:val="000000"/>
          <w:sz w:val="24"/>
          <w:szCs w:val="24"/>
        </w:rPr>
        <w:t>. DWELLING. "Dwelling" means a (building) (</w:t>
      </w:r>
      <w:r w:rsidR="000032EB">
        <w:rPr>
          <w:rFonts w:ascii="Times New Roman" w:eastAsia="Times New Roman" w:hAnsi="Times New Roman" w:cs="Times New Roman"/>
          <w:i/>
          <w:color w:val="000000"/>
          <w:sz w:val="24"/>
          <w:szCs w:val="24"/>
        </w:rPr>
        <w:t>specify conveyance</w:t>
      </w:r>
      <w:r w:rsidR="000032EB">
        <w:rPr>
          <w:rFonts w:ascii="Times New Roman" w:eastAsia="Times New Roman" w:hAnsi="Times New Roman" w:cs="Times New Roman"/>
          <w:color w:val="000000"/>
          <w:sz w:val="24"/>
          <w:szCs w:val="24"/>
        </w:rPr>
        <w:t xml:space="preserve"> </w:t>
      </w:r>
      <w:r w:rsidR="000032EB">
        <w:rPr>
          <w:rFonts w:ascii="Times New Roman" w:eastAsia="Times New Roman" w:hAnsi="Times New Roman" w:cs="Times New Roman"/>
          <w:i/>
          <w:color w:val="000000"/>
          <w:sz w:val="24"/>
          <w:szCs w:val="24"/>
        </w:rPr>
        <w:t>of any kind</w:t>
      </w:r>
      <w:r w:rsidR="000032EB">
        <w:rPr>
          <w:rFonts w:ascii="Times New Roman" w:eastAsia="Times New Roman" w:hAnsi="Times New Roman" w:cs="Times New Roman"/>
          <w:color w:val="000000"/>
          <w:sz w:val="24"/>
          <w:szCs w:val="24"/>
        </w:rPr>
        <w:t>) that has a roof over it and that is designed to be occupied by people lodging in the (building) (</w:t>
      </w:r>
      <w:r w:rsidR="000032EB">
        <w:rPr>
          <w:rFonts w:ascii="Times New Roman" w:eastAsia="Times New Roman" w:hAnsi="Times New Roman" w:cs="Times New Roman"/>
          <w:i/>
          <w:color w:val="000000"/>
          <w:sz w:val="24"/>
          <w:szCs w:val="24"/>
        </w:rPr>
        <w:t>specify conveyance</w:t>
      </w:r>
      <w:r w:rsidR="000032EB">
        <w:rPr>
          <w:rFonts w:ascii="Times New Roman" w:eastAsia="Times New Roman" w:hAnsi="Times New Roman" w:cs="Times New Roman"/>
          <w:color w:val="000000"/>
          <w:sz w:val="24"/>
          <w:szCs w:val="24"/>
        </w:rPr>
        <w:t>) at night, regardless of whether the (building) (</w:t>
      </w:r>
      <w:r w:rsidR="000032EB">
        <w:rPr>
          <w:rFonts w:ascii="Times New Roman" w:eastAsia="Times New Roman" w:hAnsi="Times New Roman" w:cs="Times New Roman"/>
          <w:i/>
          <w:color w:val="000000"/>
          <w:sz w:val="24"/>
          <w:szCs w:val="24"/>
        </w:rPr>
        <w:t>specify conveyance</w:t>
      </w:r>
      <w:r w:rsidR="000032EB">
        <w:rPr>
          <w:rFonts w:ascii="Times New Roman" w:eastAsia="Times New Roman" w:hAnsi="Times New Roman" w:cs="Times New Roman"/>
          <w:color w:val="000000"/>
          <w:sz w:val="24"/>
          <w:szCs w:val="24"/>
        </w:rPr>
        <w:t>) is temporary or permanent or is mobile or immobile. (A [building] [</w:t>
      </w:r>
      <w:r w:rsidR="000032EB">
        <w:rPr>
          <w:rFonts w:ascii="Times New Roman" w:eastAsia="Times New Roman" w:hAnsi="Times New Roman" w:cs="Times New Roman"/>
          <w:i/>
          <w:color w:val="000000"/>
          <w:sz w:val="24"/>
          <w:szCs w:val="24"/>
        </w:rPr>
        <w:t>specify conveyance</w:t>
      </w:r>
      <w:r w:rsidR="000032EB">
        <w:rPr>
          <w:rFonts w:ascii="Times New Roman" w:eastAsia="Times New Roman" w:hAnsi="Times New Roman" w:cs="Times New Roman"/>
          <w:color w:val="000000"/>
          <w:sz w:val="24"/>
          <w:szCs w:val="24"/>
        </w:rPr>
        <w:t xml:space="preserve">] includes, but is not </w:t>
      </w:r>
      <w:r w:rsidR="000032EB">
        <w:rPr>
          <w:rFonts w:ascii="Times New Roman" w:eastAsia="Times New Roman" w:hAnsi="Times New Roman" w:cs="Times New Roman"/>
          <w:color w:val="000000"/>
          <w:sz w:val="24"/>
          <w:szCs w:val="24"/>
        </w:rPr>
        <w:lastRenderedPageBreak/>
        <w:t>limited to, an attached porch, and a [building] [</w:t>
      </w:r>
      <w:r w:rsidR="000032EB">
        <w:rPr>
          <w:rFonts w:ascii="Times New Roman" w:eastAsia="Times New Roman" w:hAnsi="Times New Roman" w:cs="Times New Roman"/>
          <w:i/>
          <w:color w:val="000000"/>
          <w:sz w:val="24"/>
          <w:szCs w:val="24"/>
        </w:rPr>
        <w:t>specify conveyance</w:t>
      </w:r>
      <w:r w:rsidR="000032EB">
        <w:rPr>
          <w:rFonts w:ascii="Times New Roman" w:eastAsia="Times New Roman" w:hAnsi="Times New Roman" w:cs="Times New Roman"/>
          <w:color w:val="000000"/>
          <w:sz w:val="24"/>
          <w:szCs w:val="24"/>
        </w:rPr>
        <w:t>] with a roof over it includes, but is not limited to, a tent.)</w:t>
      </w:r>
    </w:p>
    <w:p w14:paraId="00000023" w14:textId="77777777" w:rsidR="00B12B8E" w:rsidRDefault="000032EB">
      <w:pPr>
        <w:spacing w:line="240" w:lineRule="auto"/>
        <w:ind w:left="144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COMMENT</w:t>
      </w:r>
    </w:p>
    <w:p w14:paraId="00000024" w14:textId="77777777" w:rsidR="00B12B8E" w:rsidRDefault="00B12B8E">
      <w:pPr>
        <w:spacing w:line="240" w:lineRule="auto"/>
        <w:ind w:left="1440"/>
        <w:jc w:val="center"/>
        <w:rPr>
          <w:rFonts w:ascii="Times New Roman" w:eastAsia="Times New Roman" w:hAnsi="Times New Roman" w:cs="Times New Roman"/>
          <w:b/>
          <w:color w:val="000000"/>
          <w:sz w:val="20"/>
          <w:szCs w:val="20"/>
        </w:rPr>
      </w:pPr>
    </w:p>
    <w:p w14:paraId="00000025" w14:textId="77777777" w:rsidR="00B12B8E" w:rsidRDefault="000032EB">
      <w:pPr>
        <w:spacing w:line="240" w:lineRule="auto"/>
        <w:ind w:left="144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Drawn from R.C. 2901.05(D)(2).</w:t>
      </w:r>
    </w:p>
    <w:p w14:paraId="00000026" w14:textId="77777777" w:rsidR="00B12B8E" w:rsidRDefault="00B12B8E">
      <w:pPr>
        <w:spacing w:line="240" w:lineRule="auto"/>
        <w:ind w:left="1440" w:firstLine="720"/>
        <w:rPr>
          <w:rFonts w:ascii="Times New Roman" w:eastAsia="Times New Roman" w:hAnsi="Times New Roman" w:cs="Times New Roman"/>
          <w:sz w:val="20"/>
          <w:szCs w:val="20"/>
        </w:rPr>
      </w:pPr>
    </w:p>
    <w:p w14:paraId="00000027" w14:textId="77777777" w:rsidR="00B12B8E" w:rsidRDefault="00B12B8E">
      <w:pPr>
        <w:spacing w:line="240" w:lineRule="auto"/>
        <w:ind w:left="1440" w:firstLine="720"/>
        <w:rPr>
          <w:rFonts w:ascii="Times New Roman" w:eastAsia="Times New Roman" w:hAnsi="Times New Roman" w:cs="Times New Roman"/>
          <w:sz w:val="20"/>
          <w:szCs w:val="20"/>
        </w:rPr>
      </w:pPr>
    </w:p>
    <w:p w14:paraId="00000028" w14:textId="521988DF" w:rsidR="00B12B8E" w:rsidRDefault="00A12779">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032EB">
        <w:rPr>
          <w:rFonts w:ascii="Times New Roman" w:eastAsia="Times New Roman" w:hAnsi="Times New Roman" w:cs="Times New Roman"/>
          <w:color w:val="000000"/>
          <w:sz w:val="24"/>
          <w:szCs w:val="24"/>
        </w:rPr>
        <w:t>. VEHICLE. "Vehicle" means a conveyance of any kind, whether or not m</w:t>
      </w:r>
      <w:bookmarkStart w:id="1" w:name="_GoBack"/>
      <w:bookmarkEnd w:id="1"/>
      <w:r w:rsidR="000032EB">
        <w:rPr>
          <w:rFonts w:ascii="Times New Roman" w:eastAsia="Times New Roman" w:hAnsi="Times New Roman" w:cs="Times New Roman"/>
          <w:color w:val="000000"/>
          <w:sz w:val="24"/>
          <w:szCs w:val="24"/>
        </w:rPr>
        <w:t xml:space="preserve">otorized, that is designed to transport people or property. </w:t>
      </w:r>
    </w:p>
    <w:p w14:paraId="00000029" w14:textId="77777777" w:rsidR="00B12B8E" w:rsidRDefault="000032EB">
      <w:pPr>
        <w:spacing w:line="240" w:lineRule="auto"/>
        <w:ind w:left="144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COMMENT</w:t>
      </w:r>
    </w:p>
    <w:p w14:paraId="0000002A" w14:textId="77777777" w:rsidR="00B12B8E" w:rsidRDefault="00B12B8E">
      <w:pPr>
        <w:spacing w:line="240" w:lineRule="auto"/>
        <w:ind w:left="1440"/>
        <w:jc w:val="center"/>
        <w:rPr>
          <w:rFonts w:ascii="Times New Roman" w:eastAsia="Times New Roman" w:hAnsi="Times New Roman" w:cs="Times New Roman"/>
          <w:b/>
          <w:color w:val="000000"/>
          <w:sz w:val="20"/>
          <w:szCs w:val="20"/>
        </w:rPr>
      </w:pPr>
    </w:p>
    <w:p w14:paraId="0000002B" w14:textId="77777777" w:rsidR="00B12B8E" w:rsidRDefault="000032EB">
      <w:pPr>
        <w:spacing w:line="240" w:lineRule="auto"/>
        <w:ind w:left="1440" w:firstLine="7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R.C. 2901.05(D)(4).</w:t>
      </w:r>
    </w:p>
    <w:p w14:paraId="0000002C" w14:textId="77777777" w:rsidR="00B12B8E" w:rsidRDefault="00B12B8E">
      <w:pPr>
        <w:spacing w:line="240" w:lineRule="auto"/>
        <w:ind w:left="1440" w:firstLine="720"/>
        <w:rPr>
          <w:rFonts w:ascii="Times New Roman" w:eastAsia="Times New Roman" w:hAnsi="Times New Roman" w:cs="Times New Roman"/>
          <w:sz w:val="20"/>
          <w:szCs w:val="20"/>
        </w:rPr>
      </w:pPr>
    </w:p>
    <w:p w14:paraId="0000002D" w14:textId="77777777" w:rsidR="00B12B8E" w:rsidRDefault="00B12B8E">
      <w:pPr>
        <w:spacing w:line="240" w:lineRule="auto"/>
        <w:ind w:left="1440" w:firstLine="720"/>
        <w:rPr>
          <w:rFonts w:ascii="Times New Roman" w:eastAsia="Times New Roman" w:hAnsi="Times New Roman" w:cs="Times New Roman"/>
          <w:sz w:val="20"/>
          <w:szCs w:val="20"/>
        </w:rPr>
      </w:pPr>
    </w:p>
    <w:p w14:paraId="0000002E" w14:textId="218D8D1A" w:rsidR="00B12B8E" w:rsidRDefault="00A12779">
      <w:pPr>
        <w:spacing w:line="48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7</w:t>
      </w:r>
      <w:r w:rsidR="000032EB">
        <w:rPr>
          <w:rFonts w:ascii="Times New Roman" w:eastAsia="Times New Roman" w:hAnsi="Times New Roman" w:cs="Times New Roman"/>
          <w:color w:val="000000"/>
          <w:sz w:val="24"/>
          <w:szCs w:val="24"/>
        </w:rPr>
        <w:t>. PREPONDERANCE. OJI-CR 417.29; R.C. 2901.05(A).</w:t>
      </w:r>
      <w:r w:rsidR="000032EB">
        <w:rPr>
          <w:rFonts w:ascii="Times New Roman" w:eastAsia="Times New Roman" w:hAnsi="Times New Roman" w:cs="Times New Roman"/>
          <w:color w:val="000000"/>
          <w:sz w:val="20"/>
          <w:szCs w:val="20"/>
        </w:rPr>
        <w:t xml:space="preserve"> </w:t>
      </w:r>
    </w:p>
    <w:p w14:paraId="0000002F" w14:textId="77777777" w:rsidR="00B12B8E" w:rsidRDefault="00B12B8E">
      <w:pPr>
        <w:spacing w:line="480" w:lineRule="auto"/>
        <w:rPr>
          <w:rFonts w:ascii="Times New Roman" w:eastAsia="Times New Roman" w:hAnsi="Times New Roman" w:cs="Times New Roman"/>
          <w:color w:val="000000"/>
          <w:sz w:val="24"/>
          <w:szCs w:val="24"/>
        </w:rPr>
      </w:pPr>
    </w:p>
    <w:sectPr w:rsidR="00B12B8E">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400A5" w14:textId="77777777" w:rsidR="00F13CEB" w:rsidRDefault="00F13CEB">
      <w:pPr>
        <w:spacing w:line="240" w:lineRule="auto"/>
      </w:pPr>
      <w:r>
        <w:separator/>
      </w:r>
    </w:p>
  </w:endnote>
  <w:endnote w:type="continuationSeparator" w:id="0">
    <w:p w14:paraId="206B2F51" w14:textId="77777777" w:rsidR="00F13CEB" w:rsidRDefault="00F13C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7885C" w14:textId="77777777" w:rsidR="00F13CEB" w:rsidRDefault="00F13CEB">
      <w:pPr>
        <w:spacing w:line="240" w:lineRule="auto"/>
      </w:pPr>
      <w:r>
        <w:separator/>
      </w:r>
    </w:p>
  </w:footnote>
  <w:footnote w:type="continuationSeparator" w:id="0">
    <w:p w14:paraId="32664F2C" w14:textId="77777777" w:rsidR="00F13CEB" w:rsidRDefault="00F13C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0" w14:textId="64445678" w:rsidR="00B12B8E" w:rsidRDefault="000032EB">
    <w:r>
      <w:t>AU: P.C.</w:t>
    </w:r>
    <w:r>
      <w:tab/>
    </w:r>
    <w:r>
      <w:tab/>
    </w:r>
    <w:r>
      <w:tab/>
    </w:r>
    <w:r>
      <w:tab/>
    </w:r>
    <w:r>
      <w:tab/>
      <w:t>E.A.: B.G.</w:t>
    </w:r>
    <w:r>
      <w:tab/>
    </w:r>
    <w:r>
      <w:tab/>
    </w:r>
    <w:r>
      <w:tab/>
    </w:r>
    <w:r>
      <w:tab/>
      <w:t xml:space="preserve">Rev. </w:t>
    </w:r>
    <w:r w:rsidR="00BA695A">
      <w:t>11/1</w:t>
    </w:r>
    <w:r w:rsidR="00560369">
      <w:t>9</w:t>
    </w:r>
    <w:r>
      <w:t>/19</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8E"/>
    <w:rsid w:val="000032EB"/>
    <w:rsid w:val="00560369"/>
    <w:rsid w:val="00A12779"/>
    <w:rsid w:val="00B12B8E"/>
    <w:rsid w:val="00BA695A"/>
    <w:rsid w:val="00F13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EA0F"/>
  <w15:docId w15:val="{DE9F4327-B8C6-BD48-8E4D-B0BC1E28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BA695A"/>
    <w:pPr>
      <w:tabs>
        <w:tab w:val="center" w:pos="4680"/>
        <w:tab w:val="right" w:pos="9360"/>
      </w:tabs>
      <w:spacing w:line="240" w:lineRule="auto"/>
    </w:pPr>
  </w:style>
  <w:style w:type="character" w:customStyle="1" w:styleId="HeaderChar">
    <w:name w:val="Header Char"/>
    <w:basedOn w:val="DefaultParagraphFont"/>
    <w:link w:val="Header"/>
    <w:uiPriority w:val="99"/>
    <w:rsid w:val="00BA695A"/>
  </w:style>
  <w:style w:type="paragraph" w:styleId="Footer">
    <w:name w:val="footer"/>
    <w:basedOn w:val="Normal"/>
    <w:link w:val="FooterChar"/>
    <w:uiPriority w:val="99"/>
    <w:unhideWhenUsed/>
    <w:rsid w:val="00BA695A"/>
    <w:pPr>
      <w:tabs>
        <w:tab w:val="center" w:pos="4680"/>
        <w:tab w:val="right" w:pos="9360"/>
      </w:tabs>
      <w:spacing w:line="240" w:lineRule="auto"/>
    </w:pPr>
  </w:style>
  <w:style w:type="character" w:customStyle="1" w:styleId="FooterChar">
    <w:name w:val="Footer Char"/>
    <w:basedOn w:val="DefaultParagraphFont"/>
    <w:link w:val="Footer"/>
    <w:uiPriority w:val="99"/>
    <w:rsid w:val="00BA6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Hansen</dc:creator>
  <cp:lastModifiedBy>Jennifer Hansen</cp:lastModifiedBy>
  <cp:revision>2</cp:revision>
  <dcterms:created xsi:type="dcterms:W3CDTF">2019-11-19T15:24:00Z</dcterms:created>
  <dcterms:modified xsi:type="dcterms:W3CDTF">2019-11-19T15:24:00Z</dcterms:modified>
</cp:coreProperties>
</file>